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Alex Bethencourt, Lian A. Perez Montalvo, Janera Stringer, Melissa Tablada</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01:00PM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02:00PM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Alex Bethencourt: We are currently starting out the project and the project specifications.</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z w:val="20"/>
          <w:szCs w:val="20"/>
        </w:rPr>
      </w:pPr>
      <w:r w:rsidDel="00000000" w:rsidR="00000000" w:rsidRPr="00000000">
        <w:rPr>
          <w:rtl w:val="0"/>
        </w:rPr>
        <w:t xml:space="preserve">Janera Stringer: </w:t>
      </w:r>
      <w:r w:rsidDel="00000000" w:rsidR="00000000" w:rsidRPr="00000000">
        <w:rPr>
          <w:rtl w:val="0"/>
        </w:rPr>
        <w:t xml:space="preserve">Since we just started the project, we are now working as a team to decide on the course of action we wish to follow. Right now, we have concentrated primarily on discussing project objectives, clarifying roles, and making sure everyone knows their part going forward.</w:t>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Daniel Linares: Our team has been currently starting out on the project. We’ve been working on the design of the program and how we split up responsibilities for each member.</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Lian A. Perez Montalvo: Starting the project and working together in coming up with specifications and responsibilities.</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Melissa Tablada:We are starting out the project and figuring out specifications and responsibilities.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